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11B8D" w14:textId="4A0B6932" w:rsidR="006E0105" w:rsidRPr="006E0105" w:rsidRDefault="006E0105" w:rsidP="006E010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5CA9"/>
          <w:kern w:val="36"/>
          <w:sz w:val="20"/>
          <w:szCs w:val="20"/>
          <w:lang w:eastAsia="nl-NL"/>
        </w:rPr>
      </w:pPr>
      <w:r>
        <w:rPr>
          <w:rFonts w:ascii="Times New Roman" w:eastAsia="Times New Roman" w:hAnsi="Times New Roman" w:cs="Times New Roman"/>
          <w:b/>
          <w:bCs/>
          <w:color w:val="005CA9"/>
          <w:kern w:val="36"/>
          <w:sz w:val="20"/>
          <w:szCs w:val="20"/>
          <w:lang w:eastAsia="nl-NL"/>
        </w:rPr>
        <w:t>Uit: cao gehandicaptenzorg, december 2023</w:t>
      </w:r>
    </w:p>
    <w:p w14:paraId="067B8942" w14:textId="77777777" w:rsidR="006E0105" w:rsidRPr="006E0105" w:rsidRDefault="006E0105" w:rsidP="006E0105">
      <w:pPr>
        <w:shd w:val="clear" w:color="auto" w:fill="FFFFFF"/>
        <w:spacing w:before="450" w:after="0" w:line="240" w:lineRule="auto"/>
        <w:rPr>
          <w:rFonts w:ascii="Segoe UI" w:eastAsia="Times New Roman" w:hAnsi="Segoe UI" w:cs="Segoe UI"/>
          <w:color w:val="113552"/>
          <w:sz w:val="24"/>
          <w:szCs w:val="24"/>
          <w:lang w:eastAsia="nl-NL"/>
        </w:rPr>
      </w:pPr>
      <w:r w:rsidRPr="006E0105">
        <w:rPr>
          <w:rFonts w:ascii="Segoe UI" w:eastAsia="Times New Roman" w:hAnsi="Segoe UI" w:cs="Segoe UI"/>
          <w:b/>
          <w:bCs/>
          <w:color w:val="113552"/>
          <w:sz w:val="24"/>
          <w:szCs w:val="24"/>
          <w:lang w:eastAsia="nl-NL"/>
        </w:rPr>
        <w:t>Artikel 7 Interne Bezwaren Commissie FWG (IBC-FWG)</w:t>
      </w:r>
    </w:p>
    <w:p w14:paraId="4C4D6B70" w14:textId="77777777" w:rsidR="006E0105" w:rsidRPr="006E0105" w:rsidRDefault="006E0105" w:rsidP="006E0105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113552"/>
          <w:sz w:val="24"/>
          <w:szCs w:val="24"/>
          <w:lang w:eastAsia="nl-NL"/>
        </w:rPr>
      </w:pPr>
      <w:r w:rsidRPr="006E0105">
        <w:rPr>
          <w:rFonts w:ascii="Segoe UI" w:eastAsia="Times New Roman" w:hAnsi="Segoe UI" w:cs="Segoe UI"/>
          <w:color w:val="113552"/>
          <w:sz w:val="24"/>
          <w:szCs w:val="24"/>
          <w:lang w:eastAsia="nl-NL"/>
        </w:rPr>
        <w:t>De instelling heeft een door de werkgever ingestelde Interne Bezwaren Commissie FWG (IBC-FWG).</w:t>
      </w:r>
    </w:p>
    <w:p w14:paraId="511F85F2" w14:textId="77777777" w:rsidR="006E0105" w:rsidRPr="006E0105" w:rsidRDefault="006E0105" w:rsidP="006E0105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113552"/>
          <w:sz w:val="24"/>
          <w:szCs w:val="24"/>
          <w:lang w:eastAsia="nl-NL"/>
        </w:rPr>
      </w:pPr>
      <w:r w:rsidRPr="006E0105">
        <w:rPr>
          <w:rFonts w:ascii="Segoe UI" w:eastAsia="Times New Roman" w:hAnsi="Segoe UI" w:cs="Segoe UI"/>
          <w:color w:val="113552"/>
          <w:sz w:val="24"/>
          <w:szCs w:val="24"/>
          <w:lang w:eastAsia="nl-NL"/>
        </w:rPr>
        <w:t>De IBC-FWG heeft tot taak de werkgever gemotiveerd te adviseren over:</w:t>
      </w:r>
    </w:p>
    <w:p w14:paraId="41628216" w14:textId="77777777" w:rsidR="006E0105" w:rsidRPr="006E0105" w:rsidRDefault="006E0105" w:rsidP="006E010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113552"/>
          <w:sz w:val="24"/>
          <w:szCs w:val="24"/>
          <w:lang w:eastAsia="nl-NL"/>
        </w:rPr>
      </w:pPr>
      <w:r w:rsidRPr="006E0105">
        <w:rPr>
          <w:rFonts w:ascii="Segoe UI" w:eastAsia="Times New Roman" w:hAnsi="Segoe UI" w:cs="Segoe UI"/>
          <w:color w:val="113552"/>
          <w:sz w:val="24"/>
          <w:szCs w:val="24"/>
          <w:lang w:eastAsia="nl-NL"/>
        </w:rPr>
        <w:t>Het bezwaar van de werknemer tegen de afwijzing van het wijzigingsverzoek door de werkgever (artikel 3 van deze bijlage). Dit advies is bindend.</w:t>
      </w:r>
    </w:p>
    <w:p w14:paraId="7B25526A" w14:textId="77777777" w:rsidR="006E0105" w:rsidRPr="006E0105" w:rsidRDefault="006E0105" w:rsidP="006E010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113552"/>
          <w:sz w:val="24"/>
          <w:szCs w:val="24"/>
          <w:lang w:eastAsia="nl-NL"/>
        </w:rPr>
      </w:pPr>
      <w:r w:rsidRPr="006E0105">
        <w:rPr>
          <w:rFonts w:ascii="Segoe UI" w:eastAsia="Times New Roman" w:hAnsi="Segoe UI" w:cs="Segoe UI"/>
          <w:color w:val="113552"/>
          <w:sz w:val="24"/>
          <w:szCs w:val="24"/>
          <w:lang w:eastAsia="nl-NL"/>
        </w:rPr>
        <w:t>De inhoudelijke beoordeling van het bezwaar van de werknemer (artikel 4 en 5 van deze bijlage). Bij de beoordeling van het bezwaar op grond van artikel 5 lid 5 adviseert de IBC-FWG tevens of met het FWG-helpdeskadvies en bijbehorende motivatie een goede duiding van de functiebeschrijving is gegeven. Het advies van de IBC-FWG is zwaarwegend.</w:t>
      </w:r>
    </w:p>
    <w:p w14:paraId="61D7B733" w14:textId="77777777" w:rsidR="006E0105" w:rsidRPr="006E0105" w:rsidRDefault="006E0105" w:rsidP="006E0105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113552"/>
          <w:sz w:val="24"/>
          <w:szCs w:val="24"/>
          <w:lang w:eastAsia="nl-NL"/>
        </w:rPr>
      </w:pPr>
      <w:r w:rsidRPr="006E0105">
        <w:rPr>
          <w:rFonts w:ascii="Segoe UI" w:eastAsia="Times New Roman" w:hAnsi="Segoe UI" w:cs="Segoe UI"/>
          <w:color w:val="113552"/>
          <w:sz w:val="24"/>
          <w:szCs w:val="24"/>
          <w:lang w:eastAsia="nl-NL"/>
        </w:rPr>
        <w:t>De IBC-FWG bestaat uit minimaal 2 leden en een voorzitter. De werkgever en de OR/PVT dragen een gelijk aantal leden voor. De leden van de IBC dragen gezamenlijk een voorzitter voor.</w:t>
      </w:r>
    </w:p>
    <w:p w14:paraId="2B9C01C3" w14:textId="77777777" w:rsidR="006E0105" w:rsidRPr="006E0105" w:rsidRDefault="006E0105" w:rsidP="006E0105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113552"/>
          <w:sz w:val="24"/>
          <w:szCs w:val="24"/>
          <w:lang w:eastAsia="nl-NL"/>
        </w:rPr>
      </w:pPr>
      <w:r w:rsidRPr="006E0105">
        <w:rPr>
          <w:rFonts w:ascii="Segoe UI" w:eastAsia="Times New Roman" w:hAnsi="Segoe UI" w:cs="Segoe UI"/>
          <w:color w:val="113552"/>
          <w:sz w:val="24"/>
          <w:szCs w:val="24"/>
          <w:lang w:eastAsia="nl-NL"/>
        </w:rPr>
        <w:t>De werkgever en de OR/PVT leggen in een reglement de werkwijze van de IBC-FWG vast. De werkgever draagt er zorg voor dat dit reglement inzichtelijk is voor werknemers. In het reglement wordt ten minste opgenomen:</w:t>
      </w:r>
    </w:p>
    <w:p w14:paraId="1AFC4E57" w14:textId="77777777" w:rsidR="006E0105" w:rsidRPr="006E0105" w:rsidRDefault="006E0105" w:rsidP="006E0105">
      <w:pPr>
        <w:numPr>
          <w:ilvl w:val="1"/>
          <w:numId w:val="8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113552"/>
          <w:sz w:val="24"/>
          <w:szCs w:val="24"/>
          <w:lang w:eastAsia="nl-NL"/>
        </w:rPr>
      </w:pPr>
      <w:r w:rsidRPr="006E0105">
        <w:rPr>
          <w:rFonts w:ascii="Segoe UI" w:eastAsia="Times New Roman" w:hAnsi="Segoe UI" w:cs="Segoe UI"/>
          <w:color w:val="113552"/>
          <w:sz w:val="24"/>
          <w:szCs w:val="24"/>
          <w:lang w:eastAsia="nl-NL"/>
        </w:rPr>
        <w:t>De behandelingsprocedure van een bezwaar;</w:t>
      </w:r>
    </w:p>
    <w:p w14:paraId="5C56116E" w14:textId="77777777" w:rsidR="006E0105" w:rsidRPr="006E0105" w:rsidRDefault="006E0105" w:rsidP="006E0105">
      <w:pPr>
        <w:numPr>
          <w:ilvl w:val="1"/>
          <w:numId w:val="8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113552"/>
          <w:sz w:val="24"/>
          <w:szCs w:val="24"/>
          <w:lang w:eastAsia="nl-NL"/>
        </w:rPr>
      </w:pPr>
      <w:r w:rsidRPr="006E0105">
        <w:rPr>
          <w:rFonts w:ascii="Segoe UI" w:eastAsia="Times New Roman" w:hAnsi="Segoe UI" w:cs="Segoe UI"/>
          <w:color w:val="113552"/>
          <w:sz w:val="24"/>
          <w:szCs w:val="24"/>
          <w:lang w:eastAsia="nl-NL"/>
        </w:rPr>
        <w:t>De beschikbaarheid van relevante stukken;</w:t>
      </w:r>
    </w:p>
    <w:p w14:paraId="6CE7A125" w14:textId="77777777" w:rsidR="006E0105" w:rsidRPr="006E0105" w:rsidRDefault="006E0105" w:rsidP="006E0105">
      <w:pPr>
        <w:numPr>
          <w:ilvl w:val="1"/>
          <w:numId w:val="8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113552"/>
          <w:sz w:val="24"/>
          <w:szCs w:val="24"/>
          <w:lang w:eastAsia="nl-NL"/>
        </w:rPr>
      </w:pPr>
      <w:r w:rsidRPr="006E0105">
        <w:rPr>
          <w:rFonts w:ascii="Segoe UI" w:eastAsia="Times New Roman" w:hAnsi="Segoe UI" w:cs="Segoe UI"/>
          <w:color w:val="113552"/>
          <w:sz w:val="24"/>
          <w:szCs w:val="24"/>
          <w:lang w:eastAsia="nl-NL"/>
        </w:rPr>
        <w:t>Het recht op hoor en wederhoor en het recht op bijstand door een derde;</w:t>
      </w:r>
    </w:p>
    <w:p w14:paraId="0D1DEFC5" w14:textId="77777777" w:rsidR="006E0105" w:rsidRPr="006E0105" w:rsidRDefault="006E0105" w:rsidP="006E0105">
      <w:pPr>
        <w:numPr>
          <w:ilvl w:val="1"/>
          <w:numId w:val="8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113552"/>
          <w:sz w:val="24"/>
          <w:szCs w:val="24"/>
          <w:lang w:eastAsia="nl-NL"/>
        </w:rPr>
      </w:pPr>
      <w:r w:rsidRPr="006E0105">
        <w:rPr>
          <w:rFonts w:ascii="Segoe UI" w:eastAsia="Times New Roman" w:hAnsi="Segoe UI" w:cs="Segoe UI"/>
          <w:color w:val="113552"/>
          <w:sz w:val="24"/>
          <w:szCs w:val="24"/>
          <w:lang w:eastAsia="nl-NL"/>
        </w:rPr>
        <w:t>De termijn waarbinnen advies wordt uitgebracht (in beginsel 4 weken);</w:t>
      </w:r>
    </w:p>
    <w:p w14:paraId="50841EA0" w14:textId="77777777" w:rsidR="006E0105" w:rsidRPr="006E0105" w:rsidRDefault="006E0105" w:rsidP="006E0105">
      <w:pPr>
        <w:numPr>
          <w:ilvl w:val="1"/>
          <w:numId w:val="8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113552"/>
          <w:sz w:val="24"/>
          <w:szCs w:val="24"/>
          <w:lang w:eastAsia="nl-NL"/>
        </w:rPr>
      </w:pPr>
      <w:r w:rsidRPr="006E0105">
        <w:rPr>
          <w:rFonts w:ascii="Segoe UI" w:eastAsia="Times New Roman" w:hAnsi="Segoe UI" w:cs="Segoe UI"/>
          <w:color w:val="113552"/>
          <w:sz w:val="24"/>
          <w:szCs w:val="24"/>
          <w:lang w:eastAsia="nl-NL"/>
        </w:rPr>
        <w:t>De wijze van besluitvorming;</w:t>
      </w:r>
    </w:p>
    <w:p w14:paraId="7797B398" w14:textId="77777777" w:rsidR="006E0105" w:rsidRPr="006E0105" w:rsidRDefault="006E0105" w:rsidP="006E0105">
      <w:pPr>
        <w:numPr>
          <w:ilvl w:val="1"/>
          <w:numId w:val="8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113552"/>
          <w:sz w:val="24"/>
          <w:szCs w:val="24"/>
          <w:lang w:eastAsia="nl-NL"/>
        </w:rPr>
      </w:pPr>
      <w:r w:rsidRPr="006E0105">
        <w:rPr>
          <w:rFonts w:ascii="Segoe UI" w:eastAsia="Times New Roman" w:hAnsi="Segoe UI" w:cs="Segoe UI"/>
          <w:color w:val="113552"/>
          <w:sz w:val="24"/>
          <w:szCs w:val="24"/>
          <w:lang w:eastAsia="nl-NL"/>
        </w:rPr>
        <w:t>Dat eventuele minderheidsstandpunten in het advies worden vermeld.</w:t>
      </w:r>
    </w:p>
    <w:p w14:paraId="11D1B566" w14:textId="77777777" w:rsidR="006E0105" w:rsidRPr="006E0105" w:rsidRDefault="006E0105" w:rsidP="006E0105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113552"/>
          <w:sz w:val="24"/>
          <w:szCs w:val="24"/>
          <w:lang w:eastAsia="nl-NL"/>
        </w:rPr>
      </w:pPr>
      <w:r w:rsidRPr="006E0105">
        <w:rPr>
          <w:rFonts w:ascii="Segoe UI" w:eastAsia="Times New Roman" w:hAnsi="Segoe UI" w:cs="Segoe UI"/>
          <w:color w:val="113552"/>
          <w:sz w:val="24"/>
          <w:szCs w:val="24"/>
          <w:lang w:eastAsia="nl-NL"/>
        </w:rPr>
        <w:t>De werkgever kan besluiten om in samenwerking met andere werkgevers een Regionale Bezwaren Commissie FWG (RBC-FWG) in te stellen in plaats van een IBC-FWG. Dit besluit behoeft de instemming van de OR/PVT. De bepalingen uit deze bijlage zijn van overeenkomstige toepassing op de RBC-FWG.</w:t>
      </w:r>
    </w:p>
    <w:p w14:paraId="5D03B1C1" w14:textId="32CF80C0" w:rsidR="00A77345" w:rsidRDefault="00A77345"/>
    <w:p w14:paraId="5D8B1A91" w14:textId="3C871E31" w:rsidR="006E0105" w:rsidRDefault="006E0105"/>
    <w:p w14:paraId="51D1C884" w14:textId="21DB8288" w:rsidR="006E0105" w:rsidRDefault="00EF0946">
      <w:r>
        <w:t>Voorbeeld van een regionale bezwarencommissie:</w:t>
      </w:r>
    </w:p>
    <w:p w14:paraId="65F125FC" w14:textId="77777777" w:rsidR="00EF0946" w:rsidRDefault="00EF0946" w:rsidP="00EF0946">
      <w:pPr>
        <w:rPr>
          <w:color w:val="0000FF"/>
          <w:u w:val="single"/>
        </w:rPr>
      </w:pPr>
      <w:r>
        <w:t xml:space="preserve">Cao Ambulancezorg; Bijlage VI artikel 7 </w:t>
      </w:r>
      <w:hyperlink r:id="rId5" w:history="1">
        <w:r>
          <w:rPr>
            <w:rStyle w:val="Hyperlink"/>
          </w:rPr>
          <w:t>https://www.ambulancezorg.nl/static/upload/raw/51fa592b-db6b-401c-8f8a-de7174377f56/AZN+CAO+2020+def.pdf</w:t>
        </w:r>
      </w:hyperlink>
    </w:p>
    <w:p w14:paraId="7D2B60F0" w14:textId="22799E76" w:rsidR="00EF0946" w:rsidRDefault="00EF0946"/>
    <w:p w14:paraId="2EC0E0B2" w14:textId="3878DF9C" w:rsidR="00EF0946" w:rsidRDefault="00EF0946"/>
    <w:p w14:paraId="10274070" w14:textId="3D84B177" w:rsidR="00EF0946" w:rsidRDefault="00EF0946"/>
    <w:sectPr w:rsidR="00EF0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94C21"/>
    <w:multiLevelType w:val="multilevel"/>
    <w:tmpl w:val="86723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E43C59"/>
    <w:multiLevelType w:val="multilevel"/>
    <w:tmpl w:val="B2482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516F5B"/>
    <w:multiLevelType w:val="multilevel"/>
    <w:tmpl w:val="7294F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347093"/>
    <w:multiLevelType w:val="multilevel"/>
    <w:tmpl w:val="0E8A0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B71AD6"/>
    <w:multiLevelType w:val="multilevel"/>
    <w:tmpl w:val="88A21D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7E7D19"/>
    <w:multiLevelType w:val="multilevel"/>
    <w:tmpl w:val="02607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A76FFD"/>
    <w:multiLevelType w:val="multilevel"/>
    <w:tmpl w:val="FB8A6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1844525">
    <w:abstractNumId w:val="4"/>
  </w:num>
  <w:num w:numId="2" w16cid:durableId="1816336286">
    <w:abstractNumId w:val="2"/>
  </w:num>
  <w:num w:numId="3" w16cid:durableId="986665152">
    <w:abstractNumId w:val="0"/>
  </w:num>
  <w:num w:numId="4" w16cid:durableId="252513405">
    <w:abstractNumId w:val="5"/>
  </w:num>
  <w:num w:numId="5" w16cid:durableId="1315068185">
    <w:abstractNumId w:val="1"/>
  </w:num>
  <w:num w:numId="6" w16cid:durableId="1536426556">
    <w:abstractNumId w:val="6"/>
  </w:num>
  <w:num w:numId="7" w16cid:durableId="1762986078">
    <w:abstractNumId w:val="3"/>
  </w:num>
  <w:num w:numId="8" w16cid:durableId="351155505">
    <w:abstractNumId w:val="3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105"/>
    <w:rsid w:val="006E0105"/>
    <w:rsid w:val="00A77345"/>
    <w:rsid w:val="00EF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96CE2"/>
  <w15:chartTrackingRefBased/>
  <w15:docId w15:val="{BA907A91-920B-41FB-BDC9-FB0F4EF89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6E01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E0105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customStyle="1" w:styleId="field">
    <w:name w:val="field"/>
    <w:basedOn w:val="Standaardalinea-lettertype"/>
    <w:rsid w:val="006E0105"/>
  </w:style>
  <w:style w:type="paragraph" w:styleId="Normaalweb">
    <w:name w:val="Normal (Web)"/>
    <w:basedOn w:val="Standaard"/>
    <w:uiPriority w:val="99"/>
    <w:semiHidden/>
    <w:unhideWhenUsed/>
    <w:rsid w:val="006E0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6E0105"/>
    <w:rPr>
      <w:b/>
      <w:bCs/>
    </w:rPr>
  </w:style>
  <w:style w:type="character" w:styleId="Hyperlink">
    <w:name w:val="Hyperlink"/>
    <w:basedOn w:val="Standaardalinea-lettertype"/>
    <w:uiPriority w:val="99"/>
    <w:semiHidden/>
    <w:unhideWhenUsed/>
    <w:rsid w:val="006E01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0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81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86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mbulancezorg.nl/static/upload/raw/51fa592b-db6b-401c-8f8a-de7174377f56/AZN+CAO+2020+def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318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van der Steen | Zorgthuisnl</dc:creator>
  <cp:keywords/>
  <dc:description/>
  <cp:lastModifiedBy>Franca van der Steen | Zorgthuisnl</cp:lastModifiedBy>
  <cp:revision>3</cp:revision>
  <dcterms:created xsi:type="dcterms:W3CDTF">2024-01-19T13:50:00Z</dcterms:created>
  <dcterms:modified xsi:type="dcterms:W3CDTF">2024-01-19T14:02:00Z</dcterms:modified>
</cp:coreProperties>
</file>